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n</w:t>
      </w:r>
      <w:r>
        <w:rPr>
          <w:rFonts w:cs="Arial" w:ascii="Arial" w:hAnsi="Arial"/>
          <w:b/>
          <w:sz w:val="28"/>
          <w:szCs w:val="28"/>
        </w:rPr>
        <w:t>º</w:t>
      </w:r>
      <w:r>
        <w:rPr>
          <w:rFonts w:eastAsia="Arial" w:cs="Arial" w:ascii="Arial" w:hAnsi="Arial"/>
          <w:b/>
          <w:sz w:val="28"/>
          <w:szCs w:val="28"/>
        </w:rPr>
        <w:t xml:space="preserve"> 003/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4">
                <wp:simplePos x="0" y="0"/>
                <wp:positionH relativeFrom="column">
                  <wp:posOffset>3557270</wp:posOffset>
                </wp:positionH>
                <wp:positionV relativeFrom="paragraph">
                  <wp:posOffset>161925</wp:posOffset>
                </wp:positionV>
                <wp:extent cx="2409825" cy="90487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Dispõe sobre a convocação da XIII Conferência Municipal de Assistência Social de Crateús.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12.75pt;width:189.7pt;height:71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Dispõe sobre a convocação da XIII Conferência Municipal de Assistência Social de Crateús.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Plenário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Conselho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Municipal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Assistência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Social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 w:val="false"/>
          <w:sz w:val="24"/>
          <w:szCs w:val="24"/>
        </w:rPr>
        <w:t>CMAS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 Crateús,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uso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suas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competências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atribuições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conferidas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pela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Lei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nº 902</w:t>
      </w:r>
      <w:r>
        <w:rPr>
          <w:rFonts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12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março </w:t>
      </w:r>
      <w:r>
        <w:rPr>
          <w:rFonts w:cs="Arial" w:ascii="Arial" w:hAnsi="Arial"/>
          <w:b w:val="false"/>
          <w:bCs w:val="false"/>
          <w:sz w:val="24"/>
          <w:szCs w:val="24"/>
        </w:rPr>
        <w:t>de 2025,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em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Reunião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Ordinária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dia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14 d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maio de 2025,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Convocar em caráter ordinariamente a XIII CONFERÊNCIA MUNICIPAL DE ASSISTÊNCIA SOCIAL de Crateús.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Art. 2º </w:t>
      </w:r>
      <w:r>
        <w:rPr>
          <w:rFonts w:eastAsia="Arial" w:cs="Arial" w:ascii="Arial" w:hAnsi="Arial"/>
          <w:color w:val="000000"/>
          <w:sz w:val="24"/>
          <w:szCs w:val="24"/>
        </w:rPr>
        <w:t>– A XIII Conferência Municipal de Assistência Social terá como Tema Central:</w:t>
      </w:r>
      <w:r>
        <w:rPr>
          <w:rFonts w:eastAsia="Arial" w:cs="Arial" w:ascii="Arial" w:hAnsi="Arial"/>
          <w:b/>
          <w:bCs/>
          <w:color w:val="FF400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/>
          <w:strike w:val="false"/>
          <w:dstrike w:val="false"/>
          <w:color w:val="0032CC"/>
          <w:sz w:val="24"/>
          <w:szCs w:val="24"/>
          <w:u w:val="none"/>
        </w:rPr>
        <w:t xml:space="preserve">“20 anos do SUAS: construção, proteção social e resistência”, </w:t>
      </w:r>
      <w:r>
        <w:rPr>
          <w:rFonts w:eastAsia="Arial" w:cs="Arial" w:ascii="Arial" w:hAnsi="Arial"/>
          <w:b w:val="false"/>
          <w:bCs w:val="false"/>
          <w:i/>
          <w:strike w:val="false"/>
          <w:dstrike w:val="false"/>
          <w:color w:val="000000"/>
          <w:sz w:val="24"/>
          <w:szCs w:val="24"/>
          <w:u w:val="none"/>
        </w:rPr>
        <w:t>a</w:t>
      </w:r>
      <w:r>
        <w:rPr>
          <w:rFonts w:eastAsia="Arial" w:cs="Arial" w:ascii="Arial" w:hAnsi="Arial"/>
          <w:b w:val="false"/>
          <w:bCs/>
          <w:i w:val="false"/>
          <w:strike w:val="false"/>
          <w:dstrike w:val="false"/>
          <w:color w:val="000000"/>
          <w:sz w:val="24"/>
          <w:szCs w:val="24"/>
          <w:u w:val="none"/>
        </w:rPr>
        <w:t>bordando os seguintes eixos temáticos: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b w:val="false"/>
          <w:bCs/>
          <w:i w:val="false"/>
          <w:i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rFonts w:eastAsia="Arial" w:cs="Arial" w:ascii="Arial" w:hAnsi="Arial"/>
          <w:b w:val="false"/>
          <w:bCs/>
          <w:i w:val="false"/>
          <w:strike w:val="false"/>
          <w:dstrike w:val="false"/>
          <w:color w:val="000000"/>
          <w:sz w:val="16"/>
          <w:szCs w:val="16"/>
          <w:u w:val="none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color w:val="FF400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>* Eixo  I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 -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Universalização do SUAS: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Acesso Integral com Equidade e Respeito às Diversidades.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* Eixo  II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 -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Aperfeiçoamento Contínuo do SUAS: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In</w:t>
      </w:r>
      <w:r>
        <w:rPr>
          <w:rFonts w:eastAsia="Arial" w:cs="Arial" w:ascii="Arial" w:hAnsi="Arial"/>
          <w:color w:val="000000"/>
          <w:sz w:val="24"/>
          <w:szCs w:val="24"/>
        </w:rPr>
        <w:t>ovação. Gestão Descentralizada e Valorização Profissional.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* Eixo III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- 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Integração de Benefícios e Serviços Socioassistenciais: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Fortalecendo a Proteção Social, Segurança de Renda e a Inclusão Social no SUAS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* Eixo IV-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Gestão Democrática, Informação e Comunicação Transparente: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Fortalecendo a Participação Social no SUAS.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* Eixo V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-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Sustentabilidade Financeira e Equidade no Cofinanciamento do SUAS.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/>
          <w:b/>
          <w:bCs/>
          <w:color w:val="000000"/>
          <w:sz w:val="12"/>
          <w:szCs w:val="12"/>
          <w:shd w:fill="FF0000" w:val="clear"/>
        </w:rPr>
      </w:pPr>
      <w:r>
        <w:rPr>
          <w:rFonts w:ascii="Arial" w:hAnsi="Arial"/>
          <w:b/>
          <w:bCs/>
          <w:color w:val="000000"/>
          <w:sz w:val="12"/>
          <w:szCs w:val="12"/>
          <w:shd w:fill="FF0000" w:val="clear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3°</w:t>
      </w:r>
      <w:r>
        <w:rPr>
          <w:rFonts w:eastAsia="Arial" w:cs="Arial" w:ascii="Arial" w:hAnsi="Arial"/>
          <w:sz w:val="24"/>
          <w:szCs w:val="24"/>
        </w:rPr>
        <w:t xml:space="preserve"> - Esta Resolução entra em vigor a partir da data de sua publicação.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14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maio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070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-541655</wp:posOffset>
          </wp:positionH>
          <wp:positionV relativeFrom="paragraph">
            <wp:posOffset>-53975</wp:posOffset>
          </wp:positionV>
          <wp:extent cx="2148840" cy="407035"/>
          <wp:effectExtent l="0" t="0" r="0" b="0"/>
          <wp:wrapNone/>
          <wp:docPr id="2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-1072515</wp:posOffset>
          </wp:positionH>
          <wp:positionV relativeFrom="paragraph">
            <wp:posOffset>-449580</wp:posOffset>
          </wp:positionV>
          <wp:extent cx="7552690" cy="10680700"/>
          <wp:effectExtent l="0" t="0" r="0" b="0"/>
          <wp:wrapNone/>
          <wp:docPr id="3" name="Imagem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LibreOffice/7.6.0.3$Windows_X86_64 LibreOffice_project/69edd8b8ebc41d00b4de3915dc82f8f0fc3b6265</Application>
  <AppVersion>15.0000</AppVersion>
  <Pages>1</Pages>
  <Words>210</Words>
  <Characters>1159</Characters>
  <CharactersWithSpaces>1430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2025-05-16T11:09:56Z</cp:lastPrinted>
  <dcterms:modified xsi:type="dcterms:W3CDTF">2025-05-16T11:14:11Z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