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-25400</wp:posOffset>
            </wp:positionH>
            <wp:positionV relativeFrom="paragraph">
              <wp:posOffset>-554355</wp:posOffset>
            </wp:positionV>
            <wp:extent cx="2362200" cy="445135"/>
            <wp:effectExtent l="0" t="0" r="0" b="0"/>
            <wp:wrapSquare wrapText="largest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4909820</wp:posOffset>
            </wp:positionH>
            <wp:positionV relativeFrom="paragraph">
              <wp:posOffset>-579755</wp:posOffset>
            </wp:positionV>
            <wp:extent cx="566420" cy="545465"/>
            <wp:effectExtent l="0" t="0" r="0" b="0"/>
            <wp:wrapSquare wrapText="largest"/>
            <wp:docPr id="2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5617845</wp:posOffset>
            </wp:positionH>
            <wp:positionV relativeFrom="paragraph">
              <wp:posOffset>-579120</wp:posOffset>
            </wp:positionV>
            <wp:extent cx="544195" cy="544195"/>
            <wp:effectExtent l="0" t="0" r="0" b="0"/>
            <wp:wrapSquare wrapText="largest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RESOLUÇÃO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 nº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004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/2025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LO-Normal1"/>
        <w:jc w:val="both"/>
        <w:rPr>
          <w:rFonts w:ascii="Arial" w:hAnsi="Arial" w:eastAsia="Arial" w:cs="Arial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2"/>
        </w:rPr>
        <w:t xml:space="preserve">                                                    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2"/>
        </w:rPr>
        <w:tab/>
        <w:tab/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Dispõe sobre a Instituição da Comissão Organizadora </w:t>
        <w:tab/>
        <w:tab/>
        <w:tab/>
        <w:tab/>
        <w:tab/>
        <w:tab/>
        <w:t xml:space="preserve">da </w:t>
      </w:r>
      <w:r>
        <w:rPr>
          <w:rFonts w:ascii="Arial" w:hAnsi="Arial"/>
          <w:sz w:val="22"/>
          <w:szCs w:val="22"/>
        </w:rPr>
        <w:t>Conferência Municipal de Assistência Social d</w:t>
      </w:r>
      <w:r>
        <w:rPr>
          <w:rFonts w:ascii="Arial" w:hAnsi="Arial"/>
          <w:sz w:val="22"/>
          <w:szCs w:val="22"/>
        </w:rPr>
        <w:t xml:space="preserve">e </w:t>
        <w:tab/>
        <w:tab/>
        <w:tab/>
        <w:tab/>
        <w:tab/>
        <w:tab/>
        <w:t>Crateús</w:t>
      </w:r>
      <w:r>
        <w:rPr>
          <w:rFonts w:ascii="Arial" w:hAnsi="Arial"/>
          <w:sz w:val="22"/>
          <w:szCs w:val="22"/>
        </w:rPr>
        <w:t xml:space="preserve"> e dá  outras </w:t>
      </w:r>
      <w:r>
        <w:rPr>
          <w:rFonts w:cs="Arial" w:ascii="Arial" w:hAnsi="Arial"/>
          <w:b w:val="false"/>
          <w:bCs w:val="false"/>
          <w:sz w:val="22"/>
          <w:szCs w:val="22"/>
        </w:rPr>
        <w:t>providências.</w:t>
      </w:r>
    </w:p>
    <w:p>
      <w:pPr>
        <w:pStyle w:val="Normal"/>
        <w:bidi w:val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sz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Plenária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Conselho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Municipal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Assistência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Social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CMAS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 Crateús,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no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uso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suas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competências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nas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atribuições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conferidas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pela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Lei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nº 902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12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março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 2021,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em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Reunião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Ordinária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dia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14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maio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de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2025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considerando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que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Prefeita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Crateús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Presidente do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Conselho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Municipal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Assistência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Social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-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CMAS,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convocaram,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conjuntamente,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por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meio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da Portaria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Conjunta n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º 001.15.05/2025,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em caráter ordinário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XIII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Conferência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Municipal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Assistência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Social,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realizar-se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em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Crateús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Ceará,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no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período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03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04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julho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2025</w:t>
      </w:r>
    </w:p>
    <w:p>
      <w:pPr>
        <w:pStyle w:val="Normal"/>
        <w:bidi w:val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RESOLVE APROVAR: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1º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- Esta Resolução institui a Comissão Organizadora da XIII Conferência Municipal de Assistência Social, instância de planejamento, organização, implementação e desenvolvimento das atividades da Conferência </w:t>
      </w:r>
      <w:r>
        <w:rPr>
          <w:rFonts w:eastAsia="Arial" w:cs="Arial" w:ascii="Arial" w:hAnsi="Arial"/>
          <w:color w:val="000000"/>
          <w:sz w:val="22"/>
          <w:szCs w:val="22"/>
        </w:rPr>
        <w:t>Municipal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2º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- A Comissão Organizadora terá as seguintes competências: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I. coordenar, supervisionar e promover a realização da XIII Conferência Municipal de Assistência Social;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II. elaborar o regimento interno da XIII Conferência Municipal de Assistência Social;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III. aprovar as propostas de metodologia e sistematização do processo de discussão da conferência municipal de assistência social respeitando sua territorialidade 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IV. preparar e acompanhar a operacionalização da Conferência Municipal;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V. propor e encaminhar, para aprovação do Colegiado, critérios para a definição de delegados(as), convidados(as), regulamento, regimento interno, plano de comunicação e mobilização de recursos, organização e gestão dos termos de referências, materiais e estrutura, e outros assuntos correlatos relacionados à realização da Conferência Municipal;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VI. articular com os setores do órgão gestor municipal da assistência social que tenham interface com o evento, para tratar de assuntos referentes à realização da Conferência Municipal;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VII. dar suporte técnico-operacional durante a Conferência Municipal;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VIII. acompanhar as ações desenvolvidas pelos(as) contratados(as) para a realização da Conferência Municipal;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IX. acompanhar e fiscalizar os serviços contratados, por meio de orientações em estrita consonância com as deliberações do CMAS;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X. manter o Colegiado informado sobre o andamento das providências operacionais, programáticas e de sistematização da Conferência Municipal;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XI. elaborar relatório mensal a ser informado e discutido em Plenária do CMAS;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3º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- A Comissão Organizadora, coordenada pela Presidente do CMAS, será composta, de forma paritária, por 0</w:t>
      </w:r>
      <w:r>
        <w:rPr>
          <w:rFonts w:eastAsia="Arial" w:cs="Arial" w:ascii="Arial" w:hAnsi="Arial"/>
          <w:color w:val="000000"/>
          <w:sz w:val="22"/>
          <w:szCs w:val="22"/>
        </w:rPr>
        <w:t>4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(</w:t>
      </w:r>
      <w:r>
        <w:rPr>
          <w:rFonts w:eastAsia="Arial" w:cs="Arial" w:ascii="Arial" w:hAnsi="Arial"/>
          <w:color w:val="000000"/>
          <w:sz w:val="22"/>
          <w:szCs w:val="22"/>
        </w:rPr>
        <w:t>quatro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) Conselheiras (os), dentre titulares e suplentes, incluindo o Presidente e o Vice-Presidente do CMAS, da seguinte forma: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I – Na condição de membro titular: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a) Conselheira  -  </w:t>
      </w:r>
      <w:r>
        <w:rPr>
          <w:rFonts w:eastAsia="Arial" w:cs="Arial" w:ascii="Arial" w:hAnsi="Arial"/>
          <w:color w:val="000000"/>
          <w:sz w:val="22"/>
          <w:szCs w:val="22"/>
        </w:rPr>
        <w:t>Maria do Socorro Lima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b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) Conselheira  –  </w:t>
      </w:r>
      <w:r>
        <w:rPr>
          <w:rFonts w:eastAsia="Arial" w:cs="Arial" w:ascii="Arial" w:hAnsi="Arial"/>
          <w:color w:val="000000"/>
          <w:sz w:val="22"/>
          <w:szCs w:val="22"/>
        </w:rPr>
        <w:t>Francisca Estevânia Ferreira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b/>
          <w:bCs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II – Na condição de membro suplente: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a) Conselheira – </w:t>
      </w:r>
      <w:r>
        <w:rPr>
          <w:rFonts w:eastAsia="Arial" w:cs="Arial" w:ascii="Arial" w:hAnsi="Arial"/>
          <w:color w:val="000000"/>
          <w:sz w:val="22"/>
          <w:szCs w:val="22"/>
        </w:rPr>
        <w:t>Maciana Ferreira da Silva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b) Conselheira -  </w:t>
      </w:r>
      <w:r>
        <w:rPr>
          <w:rFonts w:eastAsia="Arial" w:cs="Arial" w:ascii="Arial" w:hAnsi="Arial"/>
          <w:color w:val="000000"/>
          <w:sz w:val="22"/>
          <w:szCs w:val="22"/>
        </w:rPr>
        <w:t>Dayse Helena Sales Melo Ferreira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Parágrafo único.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Na ausência do membro titular ao seu suplente será convocado(a).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III -  Na condição de membro Colaborador(a):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a) 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Maria Socorro Marques -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Centro de Referência de Assistência Social – CRAS;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b)  </w:t>
      </w:r>
      <w:r>
        <w:rPr>
          <w:rFonts w:eastAsia="Arial" w:cs="Arial" w:ascii="Arial" w:hAnsi="Arial"/>
          <w:color w:val="000000"/>
          <w:sz w:val="22"/>
          <w:szCs w:val="22"/>
        </w:rPr>
        <w:t>Elias Evangelista -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setor financeiro da Secretaria Municipal de Assistência Social</w:t>
      </w:r>
      <w:r>
        <w:rPr>
          <w:rFonts w:eastAsia="Arial" w:cs="Arial" w:ascii="Arial" w:hAnsi="Arial"/>
          <w:color w:val="000000"/>
          <w:sz w:val="22"/>
          <w:szCs w:val="22"/>
        </w:rPr>
        <w:t>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c) 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Marylha Greicy de Sousa -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Centro de Referência Especializado de Assistência Social - CREAS;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Art. 4º - </w:t>
      </w:r>
      <w:r>
        <w:rPr>
          <w:rFonts w:eastAsia="Arial" w:cs="Arial" w:ascii="Arial" w:hAnsi="Arial"/>
          <w:color w:val="000000"/>
          <w:sz w:val="22"/>
          <w:szCs w:val="22"/>
        </w:rPr>
        <w:t>A Comissão Organizadora reunir-se-á semanalmente, anteriormente à realização da Plenária do CMAS, e extraordinariamente por requerimento da maioria de seus membros ou decisão do Presidente, da seguinte forma: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I. presencialmente,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II. por videoconferência,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</w:rPr>
        <w:t>§ 1º O horário de início e término das reuniões e a pauta de deliberação serão especificados no ato de convocação das reuniões da Comissão Organizadora, aprovados pela Plenária do CMAS.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§ 2º As propostas de encaminhamento da Comissão Organizadora se darão por consenso, sendo posteriormente submetidas à Plenária do CMAS, para aprovação.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§ 3º A Comissão Organizadora poderá convidar especialistas e representantes de órgãos ou entidades, públicos e privados, para participar das reuniões.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5º -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A Comissão instalar-se-á e discutirá as matérias que lhe forem pertinentes, com a presença da maioria absoluta de seus membros.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§1º A (o) conselheira (o), quando convocada (o), deverá confirmar a sua participação ou justificar a ausência à Presidência, até 5 (cinco) dias a contar da data de recebimento da convocação.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§2º Não havendo quórum, na forma do caput, no prazo estipulado no §1º, a Secretaria-Executiva do CMAS, com a anuência do(a) Presidência, cancelará a reunião.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6º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- A participação da (o) Conselheira (o) na Comissão é considerada prestação de serviço público relevante, não remunerada.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7º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- O apoio administrativo da Comissão será exercido pela Secretaria-Executiva do CMAS.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8º -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Para a operacionalização da XIII Conferência Municipal, a Comissão Organizadora contará com apoio dos seguintes setores: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I. Secretaria-Executiva do CMAS;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II. Secretaria Municipal de Assistência Social (Coordenadorias e Equipes dos equipamentos da assistência social;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Art. 9º </w:t>
      </w:r>
      <w:r>
        <w:rPr>
          <w:rFonts w:eastAsia="Arial" w:cs="Arial" w:ascii="Arial" w:hAnsi="Arial"/>
          <w:color w:val="000000"/>
          <w:sz w:val="22"/>
          <w:szCs w:val="22"/>
        </w:rPr>
        <w:t>Para contribuir com o processo de organização da XIII Conferência Municipal serão constituídas as subcomissões de metodologia e relatória, infraestrutura e logística e a subcomissão de comunicação, articulação e mobilização, que têm as seguintes competências: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 – Subcomissão de Metodologia, Relatória, Infraestrutura e Logísticas compete: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Elaborar documento orientador contendo as diretrizes para a realização das etapas da XIII Conferência Municipal 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b) Discutir e orientar a elaboração do documento base que subsidiará as discussões das etapas municipais da Conferência de Assistência Social;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c) Elaborar a proposta metodológica e a programação da XIII Conferência Municipal de Assistência Social;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d) Realizar a sistematização das propostas advindas das discussões em audiências públicas nos Distritos, Câmara, equipamentos  de acordo com os eixos temáticos;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f) Sugerir expositores para o Tema Central e para os eixos temáticos para deliberação do Plenário do CMAS.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FF4000"/>
          <w:sz w:val="22"/>
          <w:szCs w:val="22"/>
        </w:rPr>
      </w:pPr>
      <w:r>
        <w:rPr>
          <w:rFonts w:eastAsia="Arial" w:cs="Arial" w:ascii="Arial" w:hAnsi="Arial"/>
          <w:color w:val="FF4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10 -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A Comissão apresentará relato das discussões na reunião Plenária do CMAS, para conhecimento e deliberação.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11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 -  A Comissão Organizadora da XIII Conferência Municipal de Assistência Social tem caráter temporário e sua duração será após a elaboração final do Relatório da Conferência Municipal de Assistência Social.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Art. 12 -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Os casos omissos e as dúvidas surgidas na condução dos trabalhos da Comissão Organizadora da XIII Conferência Municipal de Assistência Social serão dirimidos pelas disposições do Regimento Interno e pela Plenária do CMAS.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Art. 13 -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Esta Resolução entra em vigor a partir da data de sua publicação. 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hanging="426" w:start="426" w:end="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         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Crateús</w:t>
      </w:r>
      <w:r>
        <w:rPr>
          <w:rFonts w:cs="Arial" w:ascii="Arial" w:hAnsi="Arial"/>
          <w:b w:val="false"/>
          <w:bCs w:val="false"/>
          <w:sz w:val="22"/>
          <w:szCs w:val="22"/>
        </w:rPr>
        <w:t>/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CE,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14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maio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2025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texto22"/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         </w:t>
      </w:r>
      <w:r>
        <w:rPr>
          <w:rFonts w:cs="Arial" w:ascii="Arial" w:hAnsi="Arial"/>
          <w:b/>
          <w:bCs/>
          <w:sz w:val="22"/>
          <w:szCs w:val="22"/>
        </w:rPr>
        <w:t>___________________________________</w:t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Maria do Socorro Lima</w:t>
      </w: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                                                                     </w:t>
      </w:r>
    </w:p>
    <w:p>
      <w:pPr>
        <w:pStyle w:val="Corpodetexto22"/>
        <w:bidi w:val="0"/>
        <w:jc w:val="center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Presidente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CMAS</w:t>
      </w:r>
    </w:p>
    <w:p>
      <w:pPr>
        <w:pStyle w:val="LO-Normal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1">
    <w:name w:val="LO-Normal1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bidi="zxx"/>
    </w:rPr>
  </w:style>
  <w:style w:type="paragraph" w:styleId="Corpodetexto22">
    <w:name w:val="Corpo de texto 22"/>
    <w:basedOn w:val="Normal"/>
    <w:qFormat/>
    <w:pPr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LibreOffice/7.6.0.3$Windows_X86_64 LibreOffice_project/69edd8b8ebc41d00b4de3915dc82f8f0fc3b6265</Application>
  <AppVersion>15.0000</AppVersion>
  <Pages>3</Pages>
  <Words>1002</Words>
  <Characters>5839</Characters>
  <CharactersWithSpaces>7022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2025-04-25T10:29:25Z</dcterms:created>
  <dc:creator/>
  <dc:description/>
  <dc:language>pt-BR</dc:language>
  <cp:lastModifiedBy/>
  <cp:lastPrinted>2025-05-16T11:41:29Z</cp:lastPrinted>
  <dcterms:modified xsi:type="dcterms:W3CDTF">2025-05-16T11:43:01Z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