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015/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12655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26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do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DEMONSTRATIVO DOS SERVIÇOS/BENEFÍCIOS DO GOVERNO ESTADUAL SUAS ANO 2024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- SECOFI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, 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9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do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DEMONSTRATIVO DOS SERVIÇOS/BENEFÍCIOS DO GOVERNO ESTADUAL SUAS ANO 2024</w:t>
                      </w:r>
                      <w:r>
                        <w:rPr>
                          <w:rFonts w:eastAsia="Calibri" w:cs="Arial" w:ascii="Arial" w:hAnsi="Arial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- SECOFI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, 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7ª reunião ordinária realizada em </w:t>
      </w:r>
      <w:r>
        <w:rPr>
          <w:rFonts w:cs="Arial" w:ascii="Arial" w:hAnsi="Arial"/>
          <w:b/>
          <w:bCs/>
          <w:sz w:val="24"/>
        </w:rPr>
        <w:t xml:space="preserve">08 </w:t>
      </w:r>
      <w:r>
        <w:rPr>
          <w:rFonts w:cs="Arial" w:ascii="Arial" w:hAnsi="Arial"/>
          <w:b/>
          <w:sz w:val="24"/>
        </w:rPr>
        <w:t>de outubro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eastAsia="Calibri" w:cs="Arial" w:ascii="Arial" w:hAnsi="Arial" w:eastAsiaTheme="minorHAnsi"/>
          <w:b/>
          <w:bCs/>
          <w:color w:val="000000"/>
          <w:sz w:val="24"/>
          <w:szCs w:val="24"/>
        </w:rPr>
        <w:t xml:space="preserve">Demonstrativo dos Serviços/benefícios cofinanciados pelo Governo do Estado SUAS referente o ano de 2024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pelo pleno do Conselho Municipal de Assistência Social.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08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outubro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2025-10-08T11:34:49Z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